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C687F" w14:textId="77777777" w:rsidR="0002569F" w:rsidRPr="0002569F" w:rsidRDefault="0002569F" w:rsidP="006D2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2569F">
        <w:rPr>
          <w:b/>
        </w:rPr>
        <w:t>APPEL A CANDIDATURE</w:t>
      </w:r>
    </w:p>
    <w:p w14:paraId="5511BB0F" w14:textId="77777777" w:rsidR="0002569F" w:rsidRPr="00F169F0" w:rsidRDefault="0002569F" w:rsidP="006D2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r w:rsidRPr="00F169F0">
        <w:rPr>
          <w:color w:val="auto"/>
        </w:rPr>
        <w:t xml:space="preserve">Opéra </w:t>
      </w:r>
      <w:r w:rsidR="006357EE" w:rsidRPr="00F169F0">
        <w:rPr>
          <w:color w:val="auto"/>
        </w:rPr>
        <w:t>n</w:t>
      </w:r>
      <w:r w:rsidRPr="00F169F0">
        <w:rPr>
          <w:color w:val="auto"/>
        </w:rPr>
        <w:t>ational de Paris – Académie de Versailles</w:t>
      </w:r>
    </w:p>
    <w:p w14:paraId="24421015" w14:textId="77777777" w:rsidR="0002569F" w:rsidRDefault="006357EE" w:rsidP="006D25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169F0">
        <w:rPr>
          <w:color w:val="auto"/>
        </w:rPr>
        <w:t>Dix</w:t>
      </w:r>
      <w:r w:rsidR="0002569F" w:rsidRPr="00F169F0">
        <w:rPr>
          <w:color w:val="auto"/>
        </w:rPr>
        <w:t xml:space="preserve"> mois </w:t>
      </w:r>
      <w:r w:rsidR="0002569F">
        <w:t>d’Ecole et d’Opéra</w:t>
      </w:r>
    </w:p>
    <w:p w14:paraId="156FC31C" w14:textId="7C394558" w:rsidR="002A366C" w:rsidRDefault="002A366C" w:rsidP="006D25C4">
      <w:pPr>
        <w:pStyle w:val="Default"/>
        <w:spacing w:after="68"/>
        <w:jc w:val="both"/>
        <w:rPr>
          <w:b/>
          <w:bCs/>
          <w:sz w:val="22"/>
          <w:szCs w:val="22"/>
        </w:rPr>
      </w:pPr>
    </w:p>
    <w:p w14:paraId="7B9CB59A" w14:textId="77777777" w:rsidR="002A366C" w:rsidRDefault="002A366C" w:rsidP="006D25C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Profil </w:t>
      </w:r>
    </w:p>
    <w:p w14:paraId="45EFCA22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</w:p>
    <w:p w14:paraId="1B2A577D" w14:textId="31C39AB0" w:rsidR="002A366C" w:rsidRDefault="002A366C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Professeur de toute discipline. Une attention particulière sera portée aux candidatures des professeurs issus de la voie professionnelle.</w:t>
      </w:r>
    </w:p>
    <w:p w14:paraId="38122F60" w14:textId="77777777" w:rsidR="0067779A" w:rsidRDefault="0067779A" w:rsidP="006D25C4">
      <w:pPr>
        <w:pStyle w:val="Default"/>
        <w:jc w:val="both"/>
        <w:rPr>
          <w:sz w:val="22"/>
          <w:szCs w:val="22"/>
        </w:rPr>
      </w:pPr>
    </w:p>
    <w:p w14:paraId="426B27C8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professeur sera missionné à temps plein à l’Opéra national de Paris et rattaché à Académie de l’Opéra national de Paris en lien avec la DAAC, rectorat de Versailles. </w:t>
      </w:r>
    </w:p>
    <w:p w14:paraId="23E2078A" w14:textId="77777777" w:rsidR="00986A31" w:rsidRDefault="00986A31" w:rsidP="006D25C4">
      <w:pPr>
        <w:pStyle w:val="Default"/>
        <w:jc w:val="both"/>
        <w:rPr>
          <w:sz w:val="22"/>
          <w:szCs w:val="22"/>
        </w:rPr>
      </w:pPr>
    </w:p>
    <w:p w14:paraId="3147F17B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sera :</w:t>
      </w:r>
    </w:p>
    <w:p w14:paraId="3007C5F0" w14:textId="77777777" w:rsidR="002A366C" w:rsidRDefault="002A366C" w:rsidP="006D25C4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- sous l’autorité de la rectrice représentée par la déléguée académique à l’éducation artistique et à l’action culturelle et en lien avec les corps d’inspection</w:t>
      </w:r>
      <w:r w:rsidR="00986A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5416241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sous l’autorité du Directeur de l’Opéra national de Paris représenté par la Directrice de l’Académie de l’Opéra national de Paris</w:t>
      </w:r>
      <w:r w:rsidR="00986A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86317D4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</w:p>
    <w:p w14:paraId="7C95ED0A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Compétences attendues : </w:t>
      </w:r>
    </w:p>
    <w:p w14:paraId="1EB38E59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  <w:r w:rsidRPr="002A366C">
        <w:rPr>
          <w:sz w:val="22"/>
          <w:szCs w:val="22"/>
        </w:rPr>
        <w:t>-</w:t>
      </w:r>
      <w:r>
        <w:rPr>
          <w:sz w:val="22"/>
          <w:szCs w:val="22"/>
        </w:rPr>
        <w:t xml:space="preserve"> compréhension et connaissance des enjeux de l’éducation artistique et culturelle</w:t>
      </w:r>
    </w:p>
    <w:p w14:paraId="6968AD98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bonne maîtrise de l’ingénierie de projets </w:t>
      </w:r>
    </w:p>
    <w:p w14:paraId="6FD88213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connaissance de la voie professionnelle</w:t>
      </w:r>
    </w:p>
    <w:p w14:paraId="6002F548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compétences orales et rédactionnelles</w:t>
      </w:r>
    </w:p>
    <w:p w14:paraId="6C88B806" w14:textId="77777777" w:rsidR="002A366C" w:rsidRDefault="002A366C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compétences de pilotage, d’animation et de coordination</w:t>
      </w:r>
    </w:p>
    <w:p w14:paraId="5408BB75" w14:textId="7F4D089F" w:rsidR="00986A31" w:rsidRDefault="00986A31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aptitude à travailler au sein d’une équipe et à communiquer</w:t>
      </w:r>
      <w:r w:rsidR="006357EE">
        <w:rPr>
          <w:sz w:val="22"/>
          <w:szCs w:val="22"/>
        </w:rPr>
        <w:t xml:space="preserve"> </w:t>
      </w:r>
    </w:p>
    <w:p w14:paraId="6E0C6C51" w14:textId="213F3EE0" w:rsidR="00986A31" w:rsidRPr="005E568A" w:rsidRDefault="00986A31" w:rsidP="006D25C4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- mobilité</w:t>
      </w:r>
      <w:r w:rsidR="006357EE">
        <w:rPr>
          <w:sz w:val="22"/>
          <w:szCs w:val="22"/>
        </w:rPr>
        <w:t xml:space="preserve"> </w:t>
      </w:r>
    </w:p>
    <w:p w14:paraId="6DA44015" w14:textId="77777777" w:rsidR="002A366C" w:rsidRDefault="002A366C" w:rsidP="006D25C4">
      <w:pPr>
        <w:pStyle w:val="Default"/>
        <w:spacing w:after="68"/>
        <w:jc w:val="both"/>
        <w:rPr>
          <w:b/>
          <w:bCs/>
          <w:sz w:val="22"/>
          <w:szCs w:val="22"/>
        </w:rPr>
      </w:pPr>
    </w:p>
    <w:p w14:paraId="513B4BC1" w14:textId="7401F5DE" w:rsidR="00986A31" w:rsidRDefault="00986A31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rapport d’activité annuel devra être remis en fin d’année scolaire à la DAAC avec copie à la Directrice de l’Académie de l’Opéra de Paris. </w:t>
      </w:r>
    </w:p>
    <w:p w14:paraId="6AD61B21" w14:textId="77777777" w:rsidR="00986A31" w:rsidRDefault="00986A31" w:rsidP="006D25C4">
      <w:pPr>
        <w:pStyle w:val="Default"/>
        <w:spacing w:after="68"/>
        <w:jc w:val="both"/>
        <w:rPr>
          <w:b/>
          <w:bCs/>
          <w:sz w:val="22"/>
          <w:szCs w:val="22"/>
        </w:rPr>
      </w:pPr>
    </w:p>
    <w:p w14:paraId="32DBB008" w14:textId="77777777" w:rsidR="002A366C" w:rsidRPr="00986A31" w:rsidRDefault="002A366C" w:rsidP="006D25C4">
      <w:pPr>
        <w:pStyle w:val="Default"/>
        <w:numPr>
          <w:ilvl w:val="0"/>
          <w:numId w:val="2"/>
        </w:numPr>
        <w:spacing w:after="6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Missions </w:t>
      </w:r>
    </w:p>
    <w:p w14:paraId="30FD043D" w14:textId="77777777" w:rsidR="0002569F" w:rsidRDefault="0002569F" w:rsidP="006D25C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Mettre en œuvre le programme </w:t>
      </w:r>
      <w:r>
        <w:rPr>
          <w:i/>
          <w:iCs/>
          <w:sz w:val="22"/>
          <w:szCs w:val="22"/>
        </w:rPr>
        <w:t xml:space="preserve">Dix Mois d’École et d’Opéra </w:t>
      </w:r>
      <w:r>
        <w:rPr>
          <w:sz w:val="22"/>
          <w:szCs w:val="22"/>
        </w:rPr>
        <w:t xml:space="preserve">dans le cadre des orientations artistiques et culturelles de l’Académie de l’Opéra national de Paris et des orientations académiques en matière d’éducation artistique et culturelle. </w:t>
      </w:r>
      <w:r w:rsidR="00986A31">
        <w:rPr>
          <w:sz w:val="22"/>
          <w:szCs w:val="22"/>
        </w:rPr>
        <w:t>Accompagner parallèlement les initiatives dans le champ de l’EAC impulsées conjointement par l’Opéra national de Paris et l’académie de Versailles.</w:t>
      </w:r>
    </w:p>
    <w:p w14:paraId="7598701F" w14:textId="77777777" w:rsidR="006D25C4" w:rsidRDefault="006D25C4" w:rsidP="006D25C4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Ces missions devront être réalisées en lien étroit avec la direction </w:t>
      </w:r>
      <w:r w:rsidRPr="00F06F9C">
        <w:rPr>
          <w:color w:val="auto"/>
          <w:sz w:val="22"/>
          <w:szCs w:val="22"/>
        </w:rPr>
        <w:t>de l’</w:t>
      </w:r>
      <w:r w:rsidR="006357EE" w:rsidRPr="00F06F9C">
        <w:rPr>
          <w:color w:val="auto"/>
          <w:sz w:val="22"/>
          <w:szCs w:val="22"/>
        </w:rPr>
        <w:t>A</w:t>
      </w:r>
      <w:r w:rsidRPr="00F06F9C">
        <w:rPr>
          <w:color w:val="auto"/>
          <w:sz w:val="22"/>
          <w:szCs w:val="22"/>
        </w:rPr>
        <w:t>cadé</w:t>
      </w:r>
      <w:r>
        <w:rPr>
          <w:sz w:val="22"/>
          <w:szCs w:val="22"/>
        </w:rPr>
        <w:t>mie de l’Opéra national de Paris et les conseillers en charge du suivi du ou des dispositifs à la délégation académique à l’action culturelle.</w:t>
      </w:r>
    </w:p>
    <w:p w14:paraId="74125EE7" w14:textId="77777777" w:rsidR="0002569F" w:rsidRDefault="002A366C" w:rsidP="006D25C4">
      <w:pPr>
        <w:pStyle w:val="Default"/>
        <w:spacing w:after="6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569F">
        <w:rPr>
          <w:sz w:val="22"/>
          <w:szCs w:val="22"/>
        </w:rPr>
        <w:t xml:space="preserve">Piloter et accompagner les actions menées par les équipes pédagogiques inscrites dans le programme en articulation avec les enseignements. </w:t>
      </w:r>
    </w:p>
    <w:p w14:paraId="7FCFB7AE" w14:textId="77777777" w:rsidR="0002569F" w:rsidRPr="0002306E" w:rsidRDefault="002A366C" w:rsidP="006D25C4">
      <w:pPr>
        <w:pStyle w:val="Default"/>
        <w:contextualSpacing/>
        <w:jc w:val="both"/>
        <w:rPr>
          <w:color w:val="auto"/>
          <w:sz w:val="22"/>
          <w:szCs w:val="22"/>
        </w:rPr>
      </w:pPr>
      <w:r w:rsidRPr="0002306E">
        <w:rPr>
          <w:color w:val="auto"/>
          <w:sz w:val="22"/>
          <w:szCs w:val="22"/>
        </w:rPr>
        <w:t xml:space="preserve">- </w:t>
      </w:r>
      <w:r w:rsidR="0002569F" w:rsidRPr="0002306E">
        <w:rPr>
          <w:color w:val="auto"/>
          <w:sz w:val="22"/>
          <w:szCs w:val="22"/>
        </w:rPr>
        <w:t xml:space="preserve">Participer à </w:t>
      </w:r>
      <w:r w:rsidR="00986A31" w:rsidRPr="0002306E">
        <w:rPr>
          <w:color w:val="auto"/>
          <w:sz w:val="22"/>
          <w:szCs w:val="22"/>
        </w:rPr>
        <w:t xml:space="preserve">la </w:t>
      </w:r>
      <w:r w:rsidR="0002569F" w:rsidRPr="0002306E">
        <w:rPr>
          <w:color w:val="auto"/>
          <w:sz w:val="22"/>
          <w:szCs w:val="22"/>
        </w:rPr>
        <w:t xml:space="preserve">conception </w:t>
      </w:r>
      <w:r w:rsidR="006357EE" w:rsidRPr="0002306E">
        <w:rPr>
          <w:color w:val="auto"/>
          <w:sz w:val="22"/>
          <w:szCs w:val="22"/>
        </w:rPr>
        <w:t xml:space="preserve">et la mise en œuvre </w:t>
      </w:r>
      <w:r w:rsidR="0002569F" w:rsidRPr="0002306E">
        <w:rPr>
          <w:color w:val="auto"/>
          <w:sz w:val="22"/>
          <w:szCs w:val="22"/>
        </w:rPr>
        <w:t>de la formation des enseignants</w:t>
      </w:r>
      <w:r w:rsidR="006357EE" w:rsidRPr="0002306E">
        <w:rPr>
          <w:color w:val="auto"/>
          <w:sz w:val="22"/>
          <w:szCs w:val="22"/>
        </w:rPr>
        <w:t xml:space="preserve"> engagés dans le programme</w:t>
      </w:r>
      <w:r w:rsidR="0002569F" w:rsidRPr="0002306E">
        <w:rPr>
          <w:color w:val="auto"/>
          <w:sz w:val="22"/>
          <w:szCs w:val="22"/>
        </w:rPr>
        <w:t>.</w:t>
      </w:r>
      <w:r w:rsidR="00986A31" w:rsidRPr="0002306E">
        <w:rPr>
          <w:color w:val="auto"/>
          <w:sz w:val="22"/>
          <w:szCs w:val="22"/>
        </w:rPr>
        <w:t xml:space="preserve"> </w:t>
      </w:r>
    </w:p>
    <w:p w14:paraId="5EC6807A" w14:textId="68D61BCE" w:rsidR="0002569F" w:rsidRDefault="0002569F" w:rsidP="006D25C4">
      <w:pPr>
        <w:pStyle w:val="Default"/>
        <w:spacing w:after="7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S’inscrire dans une dynamique d’évolution et d’ouverture du programme, notamment dans le cadre du plan de généralisation de l’éducation artistique et culturelle dans la voie professionnelle.</w:t>
      </w:r>
      <w:r w:rsidR="006357EE">
        <w:rPr>
          <w:sz w:val="22"/>
          <w:szCs w:val="22"/>
        </w:rPr>
        <w:t xml:space="preserve"> </w:t>
      </w:r>
    </w:p>
    <w:p w14:paraId="003BA250" w14:textId="77777777" w:rsidR="0002569F" w:rsidRDefault="0002569F" w:rsidP="006D25C4">
      <w:pPr>
        <w:pStyle w:val="Default"/>
        <w:spacing w:after="7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Envisager comment le programme </w:t>
      </w:r>
      <w:r>
        <w:rPr>
          <w:i/>
          <w:iCs/>
          <w:sz w:val="22"/>
          <w:szCs w:val="22"/>
        </w:rPr>
        <w:t xml:space="preserve">Dix Mois d’École et d’Opéra </w:t>
      </w:r>
      <w:r>
        <w:rPr>
          <w:sz w:val="22"/>
          <w:szCs w:val="22"/>
        </w:rPr>
        <w:t xml:space="preserve">peut prendre en compte les différentes évolutions technologiques de l’information et de la communication. </w:t>
      </w:r>
    </w:p>
    <w:p w14:paraId="0ACE9050" w14:textId="77777777" w:rsidR="0002569F" w:rsidRDefault="0002569F" w:rsidP="006D25C4">
      <w:pPr>
        <w:pStyle w:val="Defaul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Participer à la </w:t>
      </w:r>
      <w:r w:rsidR="006357EE">
        <w:rPr>
          <w:sz w:val="22"/>
          <w:szCs w:val="22"/>
        </w:rPr>
        <w:t>c</w:t>
      </w:r>
      <w:r>
        <w:rPr>
          <w:sz w:val="22"/>
          <w:szCs w:val="22"/>
        </w:rPr>
        <w:t xml:space="preserve">ommunication sur le programme </w:t>
      </w:r>
      <w:r>
        <w:rPr>
          <w:i/>
          <w:iCs/>
          <w:sz w:val="22"/>
          <w:szCs w:val="22"/>
        </w:rPr>
        <w:t xml:space="preserve">Dix Mois d’École et d’Opéra </w:t>
      </w:r>
      <w:r>
        <w:rPr>
          <w:sz w:val="22"/>
          <w:szCs w:val="22"/>
        </w:rPr>
        <w:t xml:space="preserve">auprès de partenaires régionaux, nationaux et internationaux. </w:t>
      </w:r>
    </w:p>
    <w:p w14:paraId="3182F7D9" w14:textId="77777777" w:rsidR="0002569F" w:rsidRDefault="0002569F" w:rsidP="006D25C4">
      <w:pPr>
        <w:pStyle w:val="Default"/>
        <w:contextualSpacing/>
        <w:jc w:val="both"/>
        <w:rPr>
          <w:sz w:val="22"/>
          <w:szCs w:val="22"/>
        </w:rPr>
      </w:pPr>
    </w:p>
    <w:p w14:paraId="086B1D30" w14:textId="77777777" w:rsidR="0002569F" w:rsidRDefault="002A366C" w:rsidP="006D25C4">
      <w:pPr>
        <w:pStyle w:val="Default"/>
        <w:numPr>
          <w:ilvl w:val="0"/>
          <w:numId w:val="4"/>
        </w:numPr>
        <w:spacing w:after="7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Particularités</w:t>
      </w:r>
    </w:p>
    <w:p w14:paraId="104B6B1B" w14:textId="77777777" w:rsidR="0002569F" w:rsidRDefault="002A366C" w:rsidP="006D25C4">
      <w:pPr>
        <w:pStyle w:val="Default"/>
        <w:spacing w:after="70"/>
        <w:jc w:val="both"/>
        <w:rPr>
          <w:sz w:val="22"/>
          <w:szCs w:val="22"/>
        </w:rPr>
      </w:pPr>
      <w:r w:rsidRPr="002A366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02569F">
        <w:rPr>
          <w:sz w:val="22"/>
          <w:szCs w:val="22"/>
        </w:rPr>
        <w:t xml:space="preserve">Etre disponible certains soirs et week-ends. </w:t>
      </w:r>
    </w:p>
    <w:p w14:paraId="3858B088" w14:textId="77777777" w:rsidR="0002569F" w:rsidRPr="0002569F" w:rsidRDefault="002A366C" w:rsidP="006D25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569F">
        <w:rPr>
          <w:sz w:val="22"/>
          <w:szCs w:val="22"/>
        </w:rPr>
        <w:t xml:space="preserve">Se déplacer dans les différents établissements de l’académie participant au programme </w:t>
      </w:r>
      <w:r w:rsidR="0002569F">
        <w:rPr>
          <w:i/>
          <w:iCs/>
          <w:sz w:val="22"/>
          <w:szCs w:val="22"/>
        </w:rPr>
        <w:t xml:space="preserve">Dix Mois d’École et d’Opéra. </w:t>
      </w:r>
    </w:p>
    <w:p w14:paraId="3D7918B3" w14:textId="4D61F46E" w:rsidR="0002569F" w:rsidRDefault="002A366C" w:rsidP="006D25C4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 Une attention particulière sera portée aux professeurs issus de la voie professionnelle.</w:t>
      </w:r>
      <w:r w:rsidR="006357EE">
        <w:rPr>
          <w:iCs/>
          <w:sz w:val="22"/>
          <w:szCs w:val="22"/>
        </w:rPr>
        <w:t xml:space="preserve"> </w:t>
      </w:r>
    </w:p>
    <w:p w14:paraId="41EB11B4" w14:textId="60ABB09A" w:rsidR="003C5728" w:rsidRDefault="003C5728" w:rsidP="006D25C4">
      <w:pPr>
        <w:pStyle w:val="Default"/>
        <w:jc w:val="both"/>
        <w:rPr>
          <w:iCs/>
          <w:sz w:val="22"/>
          <w:szCs w:val="22"/>
        </w:rPr>
      </w:pPr>
    </w:p>
    <w:p w14:paraId="4511CEF5" w14:textId="401170B3" w:rsidR="0067779A" w:rsidRPr="0040708A" w:rsidRDefault="0067779A" w:rsidP="0040708A">
      <w:pPr>
        <w:pStyle w:val="Sansinterligne"/>
        <w:jc w:val="center"/>
        <w:rPr>
          <w:rFonts w:ascii="Calibri" w:hAnsi="Calibri" w:cs="Calibri"/>
          <w:b/>
          <w:iCs/>
          <w:color w:val="000000"/>
          <w:sz w:val="24"/>
          <w:szCs w:val="24"/>
        </w:rPr>
      </w:pPr>
      <w:r w:rsidRPr="0040708A">
        <w:rPr>
          <w:rFonts w:ascii="Calibri" w:hAnsi="Calibri" w:cs="Calibri"/>
          <w:b/>
          <w:iCs/>
          <w:color w:val="000000"/>
          <w:sz w:val="24"/>
          <w:szCs w:val="24"/>
          <w:bdr w:val="single" w:sz="4" w:space="0" w:color="auto"/>
        </w:rPr>
        <w:lastRenderedPageBreak/>
        <w:t>Candidature : adresser une lettre de motivation et un curriculum vitae avant le 04/05</w:t>
      </w:r>
      <w:r w:rsidR="0040708A">
        <w:rPr>
          <w:rFonts w:ascii="Calibri" w:hAnsi="Calibri" w:cs="Calibri"/>
          <w:b/>
          <w:iCs/>
          <w:color w:val="000000"/>
          <w:sz w:val="24"/>
          <w:szCs w:val="24"/>
          <w:bdr w:val="single" w:sz="4" w:space="0" w:color="auto"/>
        </w:rPr>
        <w:t>/2020</w:t>
      </w:r>
    </w:p>
    <w:p w14:paraId="573D699D" w14:textId="77777777" w:rsidR="0067779A" w:rsidRPr="008F5D80" w:rsidRDefault="0067779A" w:rsidP="0067779A">
      <w:pPr>
        <w:pStyle w:val="Sansinterlign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F5D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09995A" w14:textId="70D8AB65" w:rsidR="0067779A" w:rsidRPr="00B25399" w:rsidRDefault="00B25399" w:rsidP="0067779A">
      <w:pPr>
        <w:pStyle w:val="Sansinterligne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67779A" w:rsidRPr="00B25399">
        <w:rPr>
          <w:rFonts w:cstheme="minorHAnsi"/>
          <w:b/>
          <w:sz w:val="24"/>
          <w:szCs w:val="24"/>
        </w:rPr>
        <w:t>u rectorat de l'académie de Versailles, à l'attention de</w:t>
      </w:r>
    </w:p>
    <w:p w14:paraId="0D4D126D" w14:textId="77777777" w:rsidR="0067779A" w:rsidRPr="0067779A" w:rsidRDefault="0067779A" w:rsidP="00B25399">
      <w:pPr>
        <w:pStyle w:val="Sansinterligne"/>
        <w:ind w:firstLine="360"/>
        <w:jc w:val="both"/>
        <w:rPr>
          <w:rFonts w:ascii="Calibri" w:hAnsi="Calibri" w:cs="Calibri"/>
          <w:iCs/>
          <w:color w:val="000000"/>
        </w:rPr>
      </w:pPr>
      <w:r w:rsidRPr="0067779A">
        <w:rPr>
          <w:rFonts w:ascii="Calibri" w:hAnsi="Calibri" w:cs="Calibri"/>
          <w:iCs/>
          <w:color w:val="000000"/>
        </w:rPr>
        <w:t xml:space="preserve">Marianne </w:t>
      </w:r>
      <w:proofErr w:type="spellStart"/>
      <w:r w:rsidRPr="0067779A">
        <w:rPr>
          <w:rFonts w:ascii="Calibri" w:hAnsi="Calibri" w:cs="Calibri"/>
          <w:iCs/>
          <w:color w:val="000000"/>
        </w:rPr>
        <w:t>Calvayrac</w:t>
      </w:r>
      <w:proofErr w:type="spellEnd"/>
      <w:r w:rsidRPr="0067779A">
        <w:rPr>
          <w:rFonts w:ascii="Calibri" w:hAnsi="Calibri" w:cs="Calibri"/>
          <w:iCs/>
          <w:color w:val="000000"/>
        </w:rPr>
        <w:t>, déléguée académique à l’éducation artistique et à l’action culturelle,</w:t>
      </w:r>
    </w:p>
    <w:p w14:paraId="60C89552" w14:textId="133A08A1" w:rsidR="0067779A" w:rsidRPr="0067779A" w:rsidRDefault="00B25399" w:rsidP="00B25399">
      <w:pPr>
        <w:pStyle w:val="Sansinterligne"/>
        <w:ind w:firstLine="360"/>
        <w:jc w:val="both"/>
        <w:rPr>
          <w:rFonts w:ascii="Calibri" w:hAnsi="Calibri" w:cs="Calibri"/>
          <w:iCs/>
          <w:color w:val="000000"/>
        </w:rPr>
      </w:pPr>
      <w:r w:rsidRPr="0067779A">
        <w:rPr>
          <w:rFonts w:ascii="Calibri" w:hAnsi="Calibri" w:cs="Calibri"/>
          <w:iCs/>
          <w:color w:val="000000"/>
        </w:rPr>
        <w:t>Adresse</w:t>
      </w:r>
      <w:r w:rsidR="0067779A" w:rsidRPr="0067779A">
        <w:rPr>
          <w:rFonts w:ascii="Calibri" w:hAnsi="Calibri" w:cs="Calibri"/>
          <w:iCs/>
          <w:color w:val="000000"/>
        </w:rPr>
        <w:t xml:space="preserve"> postale </w:t>
      </w:r>
      <w:r w:rsidR="0067779A" w:rsidRPr="0067779A">
        <w:rPr>
          <w:rFonts w:ascii="Calibri" w:hAnsi="Calibri" w:cs="Calibri"/>
          <w:iCs/>
          <w:color w:val="000000"/>
        </w:rPr>
        <w:tab/>
      </w:r>
      <w:r w:rsidR="0067779A" w:rsidRPr="008F5D80">
        <w:rPr>
          <w:rFonts w:ascii="Times New Roman" w:hAnsi="Times New Roman" w:cs="Times New Roman"/>
          <w:sz w:val="20"/>
          <w:szCs w:val="20"/>
        </w:rPr>
        <w:tab/>
      </w:r>
      <w:r w:rsidR="0067779A" w:rsidRPr="0067779A">
        <w:rPr>
          <w:rFonts w:ascii="Calibri" w:hAnsi="Calibri" w:cs="Calibri"/>
          <w:iCs/>
          <w:color w:val="000000"/>
        </w:rPr>
        <w:t>Rectorat - DAAC</w:t>
      </w:r>
    </w:p>
    <w:p w14:paraId="0A154DB3" w14:textId="77777777" w:rsidR="0067779A" w:rsidRPr="0067779A" w:rsidRDefault="0067779A" w:rsidP="00B25399">
      <w:pPr>
        <w:pStyle w:val="Sansinterligne"/>
        <w:ind w:left="2124" w:firstLine="708"/>
        <w:jc w:val="both"/>
        <w:rPr>
          <w:rFonts w:ascii="Calibri" w:hAnsi="Calibri" w:cs="Calibri"/>
          <w:iCs/>
          <w:color w:val="000000"/>
        </w:rPr>
      </w:pPr>
      <w:r w:rsidRPr="0067779A">
        <w:rPr>
          <w:rFonts w:ascii="Calibri" w:hAnsi="Calibri" w:cs="Calibri"/>
          <w:iCs/>
          <w:color w:val="000000"/>
        </w:rPr>
        <w:t>3, boulevard de Lesseps</w:t>
      </w:r>
    </w:p>
    <w:p w14:paraId="72CC2D93" w14:textId="28204B38" w:rsidR="00B25399" w:rsidRDefault="0067779A" w:rsidP="00B25399">
      <w:pPr>
        <w:pStyle w:val="Sansinterligne"/>
        <w:ind w:left="2124" w:firstLine="708"/>
        <w:jc w:val="both"/>
        <w:rPr>
          <w:rFonts w:ascii="Calibri" w:hAnsi="Calibri" w:cs="Calibri"/>
          <w:iCs/>
          <w:color w:val="000000"/>
        </w:rPr>
      </w:pPr>
      <w:r w:rsidRPr="0067779A">
        <w:rPr>
          <w:rFonts w:ascii="Calibri" w:hAnsi="Calibri" w:cs="Calibri"/>
          <w:iCs/>
          <w:color w:val="000000"/>
        </w:rPr>
        <w:t>78017 VERSAILLES CEDEX</w:t>
      </w:r>
    </w:p>
    <w:p w14:paraId="79F25E02" w14:textId="77777777" w:rsidR="0040708A" w:rsidRDefault="0040708A" w:rsidP="00B25399">
      <w:pPr>
        <w:pStyle w:val="Sansinterligne"/>
        <w:ind w:left="2124" w:firstLine="708"/>
        <w:jc w:val="both"/>
        <w:rPr>
          <w:rFonts w:ascii="Calibri" w:hAnsi="Calibri" w:cs="Calibri"/>
          <w:iCs/>
          <w:color w:val="000000"/>
        </w:rPr>
      </w:pPr>
    </w:p>
    <w:p w14:paraId="52C4EE1D" w14:textId="77777777" w:rsidR="0040708A" w:rsidRDefault="00B25399" w:rsidP="0040708A">
      <w:pPr>
        <w:pStyle w:val="Sansinterligne"/>
        <w:ind w:left="360" w:firstLine="360"/>
        <w:jc w:val="both"/>
        <w:rPr>
          <w:rFonts w:ascii="Calibri" w:hAnsi="Calibri" w:cs="Calibri"/>
          <w:iCs/>
          <w:color w:val="000000"/>
        </w:rPr>
      </w:pPr>
      <w:r w:rsidRPr="00B25399">
        <w:rPr>
          <w:rFonts w:ascii="Calibri" w:hAnsi="Calibri" w:cs="Calibri"/>
          <w:b/>
          <w:iCs/>
          <w:color w:val="000000"/>
          <w:u w:val="single"/>
        </w:rPr>
        <w:t>Et par courriel</w:t>
      </w:r>
      <w:r>
        <w:rPr>
          <w:rFonts w:ascii="Calibri" w:hAnsi="Calibri" w:cs="Calibri"/>
          <w:iCs/>
          <w:color w:val="000000"/>
        </w:rPr>
        <w:t xml:space="preserve">  à </w:t>
      </w:r>
      <w:hyperlink r:id="rId8" w:history="1">
        <w:r w:rsidR="0067779A" w:rsidRPr="00B25399">
          <w:rPr>
            <w:rFonts w:ascii="Calibri" w:hAnsi="Calibri" w:cs="Calibri"/>
            <w:iCs/>
            <w:color w:val="0033CC"/>
            <w:u w:val="single"/>
          </w:rPr>
          <w:t>ce.daac@ac-versailles.fr</w:t>
        </w:r>
      </w:hyperlink>
      <w:r>
        <w:rPr>
          <w:rFonts w:ascii="Calibri" w:hAnsi="Calibri" w:cs="Calibri"/>
          <w:iCs/>
          <w:color w:val="000000"/>
        </w:rPr>
        <w:t xml:space="preserve"> ,</w:t>
      </w:r>
      <w:hyperlink r:id="rId9" w:history="1">
        <w:r w:rsidRPr="00B97C70">
          <w:rPr>
            <w:rStyle w:val="Lienhypertexte"/>
            <w:rFonts w:ascii="Calibri" w:hAnsi="Calibri" w:cs="Calibri"/>
            <w:iCs/>
          </w:rPr>
          <w:t>jacquet.bret@ac-versailles.fr</w:t>
        </w:r>
      </w:hyperlink>
      <w:r w:rsidR="0040708A">
        <w:rPr>
          <w:rFonts w:ascii="Calibri" w:hAnsi="Calibri" w:cs="Calibri"/>
          <w:iCs/>
          <w:color w:val="000000"/>
        </w:rPr>
        <w:t xml:space="preserve"> </w:t>
      </w:r>
    </w:p>
    <w:p w14:paraId="6C99590D" w14:textId="67EFC31F" w:rsidR="0067779A" w:rsidRDefault="0040708A" w:rsidP="0040708A">
      <w:pPr>
        <w:pStyle w:val="Sansinterligne"/>
        <w:ind w:left="360" w:firstLine="36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et</w:t>
      </w:r>
      <w:r w:rsidR="00B25399">
        <w:rPr>
          <w:rFonts w:ascii="Calibri" w:hAnsi="Calibri" w:cs="Calibri"/>
          <w:iCs/>
          <w:color w:val="000000"/>
        </w:rPr>
        <w:t xml:space="preserve"> </w:t>
      </w:r>
      <w:hyperlink r:id="rId10" w:history="1">
        <w:r w:rsidR="00B25399" w:rsidRPr="00B97C70">
          <w:rPr>
            <w:rStyle w:val="Lienhypertexte"/>
            <w:rFonts w:ascii="Calibri" w:hAnsi="Calibri" w:cs="Calibri"/>
            <w:iCs/>
          </w:rPr>
          <w:t>amandine.Barrier-dalmon@ac-versailles.fr</w:t>
        </w:r>
      </w:hyperlink>
      <w:r w:rsidR="00B25399">
        <w:rPr>
          <w:rFonts w:ascii="Calibri" w:hAnsi="Calibri" w:cs="Calibri"/>
          <w:iCs/>
          <w:color w:val="000000"/>
        </w:rPr>
        <w:t xml:space="preserve"> </w:t>
      </w:r>
    </w:p>
    <w:p w14:paraId="17366795" w14:textId="6D0805C3" w:rsidR="0067779A" w:rsidRPr="00B25399" w:rsidRDefault="0067779A" w:rsidP="0040708A">
      <w:pPr>
        <w:pStyle w:val="Sansinterligne"/>
        <w:ind w:firstLine="708"/>
      </w:pPr>
      <w:bookmarkStart w:id="0" w:name="_GoBack"/>
      <w:bookmarkEnd w:id="0"/>
      <w:r>
        <w:br/>
      </w:r>
    </w:p>
    <w:p w14:paraId="35A2E401" w14:textId="77777777" w:rsidR="0067779A" w:rsidRDefault="0067779A" w:rsidP="006D25C4">
      <w:pPr>
        <w:pStyle w:val="Default"/>
        <w:jc w:val="both"/>
        <w:rPr>
          <w:iCs/>
          <w:sz w:val="22"/>
          <w:szCs w:val="22"/>
        </w:rPr>
      </w:pPr>
    </w:p>
    <w:p w14:paraId="3A6D2061" w14:textId="77777777" w:rsidR="0067779A" w:rsidRDefault="0067779A" w:rsidP="006D25C4">
      <w:pPr>
        <w:pStyle w:val="Default"/>
        <w:jc w:val="both"/>
        <w:rPr>
          <w:iCs/>
          <w:sz w:val="22"/>
          <w:szCs w:val="22"/>
        </w:rPr>
      </w:pPr>
    </w:p>
    <w:p w14:paraId="69B57187" w14:textId="2F76D0E9" w:rsidR="006B559B" w:rsidRPr="0002306E" w:rsidRDefault="00EF24DB" w:rsidP="0002306E">
      <w:pPr>
        <w:pStyle w:val="Default"/>
        <w:jc w:val="both"/>
        <w:rPr>
          <w:i/>
          <w:color w:val="0070C0"/>
          <w:sz w:val="22"/>
          <w:szCs w:val="22"/>
        </w:rPr>
      </w:pPr>
    </w:p>
    <w:sectPr w:rsidR="006B559B" w:rsidRPr="0002306E" w:rsidSect="00BA0931">
      <w:pgSz w:w="11906" w:h="17338"/>
      <w:pgMar w:top="1425" w:right="1116" w:bottom="891" w:left="12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E07"/>
    <w:multiLevelType w:val="hybridMultilevel"/>
    <w:tmpl w:val="5522629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B99"/>
    <w:multiLevelType w:val="hybridMultilevel"/>
    <w:tmpl w:val="AE9ABDE0"/>
    <w:lvl w:ilvl="0" w:tplc="A3D80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6954"/>
    <w:multiLevelType w:val="hybridMultilevel"/>
    <w:tmpl w:val="BDB2E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055CA"/>
    <w:multiLevelType w:val="hybridMultilevel"/>
    <w:tmpl w:val="016E41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32B75"/>
    <w:multiLevelType w:val="hybridMultilevel"/>
    <w:tmpl w:val="9356B176"/>
    <w:lvl w:ilvl="0" w:tplc="608667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9F"/>
    <w:rsid w:val="0002306E"/>
    <w:rsid w:val="0002569F"/>
    <w:rsid w:val="001F2D30"/>
    <w:rsid w:val="002A366C"/>
    <w:rsid w:val="003C5728"/>
    <w:rsid w:val="0040708A"/>
    <w:rsid w:val="005E568A"/>
    <w:rsid w:val="006357EE"/>
    <w:rsid w:val="0067779A"/>
    <w:rsid w:val="006D25C4"/>
    <w:rsid w:val="00986A31"/>
    <w:rsid w:val="00A8785D"/>
    <w:rsid w:val="00AF6A60"/>
    <w:rsid w:val="00B25399"/>
    <w:rsid w:val="00C6234E"/>
    <w:rsid w:val="00F06F9C"/>
    <w:rsid w:val="00F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BC6E"/>
  <w15:docId w15:val="{D6B1EA34-D3D8-4D8B-B68E-428E534A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256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67779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77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aac@ac-versailles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mandine.Barrier-dalmon@ac-versailles.f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cquet.bret@ac-versail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FBB1D2D106644894563719FDEAEF6" ma:contentTypeVersion="11" ma:contentTypeDescription="Crée un document." ma:contentTypeScope="" ma:versionID="1cdbdb5f350bf2b3ab343f62c024765a">
  <xsd:schema xmlns:xsd="http://www.w3.org/2001/XMLSchema" xmlns:xs="http://www.w3.org/2001/XMLSchema" xmlns:p="http://schemas.microsoft.com/office/2006/metadata/properties" xmlns:ns3="01401a4b-1927-4912-8a8e-4910b09d441a" xmlns:ns4="8d2295d7-a851-454e-b83d-7cd10db36203" targetNamespace="http://schemas.microsoft.com/office/2006/metadata/properties" ma:root="true" ma:fieldsID="de7d6ca20a665f01524b410611120a34" ns3:_="" ns4:_="">
    <xsd:import namespace="01401a4b-1927-4912-8a8e-4910b09d441a"/>
    <xsd:import namespace="8d2295d7-a851-454e-b83d-7cd10db362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1a4b-1927-4912-8a8e-4910b09d4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95d7-a851-454e-b83d-7cd10db36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32953-1AB4-409D-A403-FCFC87AF1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A5859-2DD7-4FE5-AFEC-DBEFA903D5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01401a4b-1927-4912-8a8e-4910b09d441a"/>
    <ds:schemaRef ds:uri="http://schemas.microsoft.com/office/infopath/2007/PartnerControls"/>
    <ds:schemaRef ds:uri="8d2295d7-a851-454e-b83d-7cd10db3620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9FEBF4-7F18-46BB-9DAC-77ABCC627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1a4b-1927-4912-8a8e-4910b09d441a"/>
    <ds:schemaRef ds:uri="8d2295d7-a851-454e-b83d-7cd10db36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Calvayrac</dc:creator>
  <cp:lastModifiedBy>Amandine Barrier-Dalmon</cp:lastModifiedBy>
  <cp:revision>2</cp:revision>
  <cp:lastPrinted>2020-02-26T12:32:00Z</cp:lastPrinted>
  <dcterms:created xsi:type="dcterms:W3CDTF">2020-03-04T21:09:00Z</dcterms:created>
  <dcterms:modified xsi:type="dcterms:W3CDTF">2020-03-04T21:09:00Z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0x0101003EDFBB1D2D106644894563719FDEAEF6</vt:lpwstr>
  </property>
</Properties>
</file>